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C8BE" w14:textId="220AAF9D" w:rsidR="007433A2" w:rsidRPr="006B5578" w:rsidRDefault="007433A2" w:rsidP="007433A2">
      <w:pPr>
        <w:jc w:val="center"/>
        <w:rPr>
          <w:b/>
        </w:rPr>
      </w:pPr>
      <w:r w:rsidRPr="006B5578">
        <w:rPr>
          <w:b/>
        </w:rPr>
        <w:t xml:space="preserve">FY 2024-25 </w:t>
      </w:r>
      <w:r>
        <w:rPr>
          <w:b/>
        </w:rPr>
        <w:t>DOR’s</w:t>
      </w:r>
      <w:r w:rsidRPr="006B5578">
        <w:rPr>
          <w:b/>
        </w:rPr>
        <w:t xml:space="preserve"> Proposed Budget</w:t>
      </w:r>
      <w:r w:rsidRPr="007433A2">
        <w:rPr>
          <w:b/>
        </w:rPr>
        <w:t xml:space="preserve"> </w:t>
      </w:r>
      <w:r w:rsidRPr="006B5578">
        <w:rPr>
          <w:b/>
        </w:rPr>
        <w:t>Highlights</w:t>
      </w:r>
    </w:p>
    <w:p w14:paraId="1A5F5860" w14:textId="77777777" w:rsidR="007433A2" w:rsidRPr="006B5578" w:rsidRDefault="007433A2" w:rsidP="007433A2">
      <w:pPr>
        <w:jc w:val="center"/>
        <w:rPr>
          <w:bCs/>
          <w:sz w:val="20"/>
          <w:szCs w:val="20"/>
        </w:rPr>
      </w:pPr>
      <w:r w:rsidRPr="006B5578">
        <w:rPr>
          <w:bCs/>
          <w:sz w:val="20"/>
          <w:szCs w:val="20"/>
        </w:rPr>
        <w:t>(Dollars in thousands)</w:t>
      </w:r>
    </w:p>
    <w:p w14:paraId="39430D4B" w14:textId="77777777" w:rsidR="007433A2" w:rsidRDefault="007433A2" w:rsidP="00CF7878"/>
    <w:p w14:paraId="231FB3CC" w14:textId="56CE092E" w:rsidR="00236E5B" w:rsidRPr="006B5578" w:rsidRDefault="00C14CA8" w:rsidP="00CF7878">
      <w:r w:rsidRPr="006B5578">
        <w:t>The Department of Rehabilitation’s (D</w:t>
      </w:r>
      <w:r w:rsidR="009A64C7" w:rsidRPr="006B5578">
        <w:t>OR</w:t>
      </w:r>
      <w:r w:rsidRPr="006B5578">
        <w:t>)</w:t>
      </w:r>
      <w:r w:rsidR="007F6BF3" w:rsidRPr="006B5578">
        <w:t xml:space="preserve"> </w:t>
      </w:r>
      <w:r w:rsidR="00801BE4" w:rsidRPr="006B5578">
        <w:t>proposed</w:t>
      </w:r>
      <w:r w:rsidR="00556D47" w:rsidRPr="006B5578">
        <w:t xml:space="preserve"> </w:t>
      </w:r>
      <w:r w:rsidRPr="006B5578">
        <w:t xml:space="preserve">budget for fiscal year (FY) </w:t>
      </w:r>
      <w:r w:rsidR="001A3783" w:rsidRPr="006B5578">
        <w:t>202</w:t>
      </w:r>
      <w:r w:rsidR="002C44B0" w:rsidRPr="006B5578">
        <w:t>4</w:t>
      </w:r>
      <w:r w:rsidR="00256605" w:rsidRPr="006B5578">
        <w:t>-</w:t>
      </w:r>
      <w:r w:rsidR="001A3783" w:rsidRPr="006B5578">
        <w:t>2</w:t>
      </w:r>
      <w:r w:rsidR="002C44B0" w:rsidRPr="006B5578">
        <w:t>5</w:t>
      </w:r>
      <w:r w:rsidR="001A3783" w:rsidRPr="006B5578">
        <w:t xml:space="preserve"> </w:t>
      </w:r>
      <w:r w:rsidRPr="006B5578">
        <w:t xml:space="preserve">is </w:t>
      </w:r>
      <w:r w:rsidR="0013323A" w:rsidRPr="006B5578">
        <w:t>$</w:t>
      </w:r>
      <w:r w:rsidR="002C44B0" w:rsidRPr="006B5578">
        <w:t>576</w:t>
      </w:r>
      <w:r w:rsidR="00484FEF">
        <w:t>,</w:t>
      </w:r>
      <w:r w:rsidR="002C44B0" w:rsidRPr="006B5578">
        <w:t>3</w:t>
      </w:r>
      <w:r w:rsidR="00484FEF">
        <w:t>08</w:t>
      </w:r>
      <w:r w:rsidRPr="006B5578">
        <w:t>.</w:t>
      </w:r>
      <w:r w:rsidR="00B7431A" w:rsidRPr="006B5578">
        <w:t xml:space="preserve"> </w:t>
      </w:r>
      <w:r w:rsidR="00C851FD" w:rsidRPr="006B5578">
        <w:t xml:space="preserve">DOR continues to operate under a Federal Order of Selection process and determined that projected resources are adequate to meet projected costs for all three Priority Categories. </w:t>
      </w:r>
      <w:r w:rsidR="00AF3941">
        <w:t xml:space="preserve">Since November 2020, DOR has been serving </w:t>
      </w:r>
      <w:r w:rsidR="00C851FD" w:rsidRPr="006B5578">
        <w:t>all individuals in Priority Category One, eligible individuals with the most significant disabilities; Priority Category Two, eligible individuals with significant disabilities, and all other eligible individuals with disabilities, Priority Category Three.</w:t>
      </w:r>
    </w:p>
    <w:p w14:paraId="14B70F91" w14:textId="77777777" w:rsidR="00FE2B08" w:rsidRPr="006B5578" w:rsidRDefault="00FE2B08" w:rsidP="00CF7878"/>
    <w:p w14:paraId="45D65E20" w14:textId="6D2FD1E7" w:rsidR="00256605" w:rsidRPr="006B5578" w:rsidRDefault="00256605" w:rsidP="00FE2B08">
      <w:pPr>
        <w:outlineLvl w:val="0"/>
        <w:rPr>
          <w:rFonts w:cs="Arial"/>
          <w:b/>
          <w:bCs/>
          <w:kern w:val="36"/>
          <w:u w:val="single"/>
        </w:rPr>
      </w:pPr>
      <w:r w:rsidRPr="006B5578">
        <w:rPr>
          <w:rFonts w:cs="Arial"/>
          <w:b/>
          <w:bCs/>
          <w:kern w:val="36"/>
          <w:u w:val="single"/>
        </w:rPr>
        <w:t>Funding by Program</w:t>
      </w:r>
    </w:p>
    <w:p w14:paraId="4BE5C29F" w14:textId="67C77CB2" w:rsidR="00256605" w:rsidRPr="006B5578" w:rsidRDefault="00256605" w:rsidP="00FE2B08">
      <w:pPr>
        <w:outlineLvl w:val="0"/>
        <w:rPr>
          <w:rFonts w:cs="Arial"/>
          <w:b/>
          <w:bCs/>
          <w:kern w:val="36"/>
          <w:u w:val="single"/>
        </w:rPr>
      </w:pPr>
      <w:r w:rsidRPr="006B5578">
        <w:rPr>
          <w:rFonts w:cs="Arial"/>
          <w:kern w:val="36"/>
        </w:rPr>
        <w:t xml:space="preserve">Vocational Rehabilitation </w:t>
      </w:r>
      <w:r w:rsidR="00AF3941">
        <w:rPr>
          <w:rFonts w:cs="Arial"/>
          <w:kern w:val="36"/>
        </w:rPr>
        <w:t>Services</w:t>
      </w:r>
      <w:r w:rsidR="00AF3941" w:rsidRPr="006B5578">
        <w:rPr>
          <w:rFonts w:cs="Arial"/>
          <w:kern w:val="36"/>
        </w:rPr>
        <w:t xml:space="preserve"> </w:t>
      </w:r>
      <w:r w:rsidRPr="006B5578">
        <w:rPr>
          <w:rFonts w:cs="Arial"/>
          <w:kern w:val="36"/>
        </w:rPr>
        <w:t>– $</w:t>
      </w:r>
      <w:r w:rsidR="002C44B0" w:rsidRPr="006B5578">
        <w:rPr>
          <w:rFonts w:cs="Arial"/>
          <w:kern w:val="36"/>
        </w:rPr>
        <w:t>548</w:t>
      </w:r>
      <w:r w:rsidR="00D74053">
        <w:rPr>
          <w:rFonts w:cs="Arial"/>
          <w:kern w:val="36"/>
        </w:rPr>
        <w:t>,286</w:t>
      </w:r>
    </w:p>
    <w:p w14:paraId="4868352A" w14:textId="6BB5FB37" w:rsidR="00256605" w:rsidRPr="006B5578" w:rsidRDefault="00256605" w:rsidP="00FE2B08">
      <w:pPr>
        <w:outlineLvl w:val="0"/>
        <w:rPr>
          <w:rFonts w:cs="Arial"/>
          <w:kern w:val="36"/>
        </w:rPr>
      </w:pPr>
      <w:r w:rsidRPr="006B5578">
        <w:rPr>
          <w:rFonts w:cs="Arial"/>
          <w:kern w:val="36"/>
        </w:rPr>
        <w:t xml:space="preserve">Independent Living </w:t>
      </w:r>
      <w:r w:rsidR="00AF3941">
        <w:rPr>
          <w:rFonts w:cs="Arial"/>
          <w:kern w:val="36"/>
        </w:rPr>
        <w:t xml:space="preserve">Services </w:t>
      </w:r>
      <w:r w:rsidRPr="006B5578">
        <w:rPr>
          <w:rFonts w:cs="Arial"/>
          <w:kern w:val="36"/>
        </w:rPr>
        <w:t>– $</w:t>
      </w:r>
      <w:r w:rsidR="002C44B0" w:rsidRPr="006B5578">
        <w:rPr>
          <w:rFonts w:cs="Arial"/>
          <w:kern w:val="36"/>
        </w:rPr>
        <w:t>28</w:t>
      </w:r>
      <w:r w:rsidR="00D74053">
        <w:rPr>
          <w:rFonts w:cs="Arial"/>
          <w:kern w:val="36"/>
        </w:rPr>
        <w:t>,022</w:t>
      </w:r>
    </w:p>
    <w:p w14:paraId="01CC7A59" w14:textId="77777777" w:rsidR="00FE2B08" w:rsidRPr="006B5578" w:rsidRDefault="00FE2B08" w:rsidP="00FE2B08">
      <w:pPr>
        <w:outlineLvl w:val="0"/>
        <w:rPr>
          <w:rFonts w:cs="Arial"/>
          <w:b/>
          <w:bCs/>
          <w:kern w:val="36"/>
          <w:u w:val="single"/>
        </w:rPr>
      </w:pPr>
    </w:p>
    <w:p w14:paraId="60CC5935" w14:textId="3F7358CD" w:rsidR="00256605" w:rsidRPr="006B5578" w:rsidRDefault="00256605" w:rsidP="00FE2B08">
      <w:pPr>
        <w:outlineLvl w:val="0"/>
        <w:rPr>
          <w:rFonts w:cs="Arial"/>
          <w:b/>
          <w:bCs/>
          <w:kern w:val="36"/>
          <w:u w:val="single"/>
        </w:rPr>
      </w:pPr>
      <w:r w:rsidRPr="006B5578">
        <w:rPr>
          <w:rFonts w:cs="Arial"/>
          <w:b/>
          <w:bCs/>
          <w:kern w:val="36"/>
          <w:u w:val="single"/>
        </w:rPr>
        <w:t>Funding by Sources</w:t>
      </w:r>
    </w:p>
    <w:p w14:paraId="1A873500" w14:textId="06098835" w:rsidR="00256605" w:rsidRPr="006B5578" w:rsidRDefault="00256605" w:rsidP="00FE2B08">
      <w:pPr>
        <w:rPr>
          <w:rFonts w:eastAsia="Calibri" w:cs="Arial"/>
        </w:rPr>
      </w:pPr>
      <w:r w:rsidRPr="006B5578">
        <w:rPr>
          <w:rFonts w:eastAsia="Calibri" w:cs="Arial"/>
        </w:rPr>
        <w:t>Total proposed budget for FY 202</w:t>
      </w:r>
      <w:r w:rsidR="002C44B0" w:rsidRPr="006B5578">
        <w:rPr>
          <w:rFonts w:eastAsia="Calibri" w:cs="Arial"/>
        </w:rPr>
        <w:t>4</w:t>
      </w:r>
      <w:r w:rsidRPr="006B5578">
        <w:rPr>
          <w:rFonts w:eastAsia="Calibri" w:cs="Arial"/>
        </w:rPr>
        <w:t>-2</w:t>
      </w:r>
      <w:r w:rsidR="002C44B0" w:rsidRPr="006B5578">
        <w:rPr>
          <w:rFonts w:eastAsia="Calibri" w:cs="Arial"/>
        </w:rPr>
        <w:t>5</w:t>
      </w:r>
      <w:r w:rsidRPr="006B5578">
        <w:rPr>
          <w:rFonts w:eastAsia="Calibri" w:cs="Arial"/>
        </w:rPr>
        <w:t xml:space="preserve"> is $</w:t>
      </w:r>
      <w:r w:rsidR="002C44B0" w:rsidRPr="006B5578">
        <w:rPr>
          <w:rFonts w:eastAsia="Calibri" w:cs="Arial"/>
        </w:rPr>
        <w:t>576,308</w:t>
      </w:r>
      <w:r w:rsidRPr="006B5578">
        <w:rPr>
          <w:rFonts w:eastAsia="Calibri" w:cs="Arial"/>
        </w:rPr>
        <w:t xml:space="preserve"> </w:t>
      </w:r>
      <w:r w:rsidR="00AF3941">
        <w:rPr>
          <w:rFonts w:eastAsia="Calibri" w:cs="Arial"/>
        </w:rPr>
        <w:t>which</w:t>
      </w:r>
      <w:r w:rsidR="00AF3941" w:rsidRPr="006B5578">
        <w:rPr>
          <w:rFonts w:eastAsia="Calibri" w:cs="Arial"/>
        </w:rPr>
        <w:t xml:space="preserve"> </w:t>
      </w:r>
      <w:r w:rsidRPr="006B5578">
        <w:rPr>
          <w:rFonts w:eastAsia="Calibri" w:cs="Arial"/>
        </w:rPr>
        <w:t>includes:</w:t>
      </w:r>
    </w:p>
    <w:p w14:paraId="5009064F" w14:textId="6474C249" w:rsidR="00256605" w:rsidRPr="006B5578" w:rsidRDefault="00256605" w:rsidP="00FF3633">
      <w:pPr>
        <w:numPr>
          <w:ilvl w:val="0"/>
          <w:numId w:val="34"/>
        </w:numPr>
        <w:ind w:left="630" w:hanging="270"/>
        <w:rPr>
          <w:rFonts w:eastAsia="Calibri" w:cs="Arial"/>
        </w:rPr>
      </w:pPr>
      <w:r w:rsidRPr="006B5578">
        <w:rPr>
          <w:rFonts w:eastAsia="Calibri" w:cs="Arial"/>
        </w:rPr>
        <w:t>General Fund – $</w:t>
      </w:r>
      <w:r w:rsidR="002C44B0" w:rsidRPr="006B5578">
        <w:rPr>
          <w:rFonts w:eastAsia="Calibri" w:cs="Arial"/>
        </w:rPr>
        <w:t>85,226</w:t>
      </w:r>
      <w:r w:rsidRPr="006B5578">
        <w:rPr>
          <w:rFonts w:eastAsia="Calibri" w:cs="Arial"/>
        </w:rPr>
        <w:t xml:space="preserve"> including $6,375 in Local Assistance</w:t>
      </w:r>
    </w:p>
    <w:p w14:paraId="25CE569B" w14:textId="77777777" w:rsidR="00AF3941" w:rsidRPr="005B2445" w:rsidRDefault="00AF3941" w:rsidP="00AF3941">
      <w:pPr>
        <w:numPr>
          <w:ilvl w:val="0"/>
          <w:numId w:val="34"/>
        </w:numPr>
        <w:ind w:left="630" w:hanging="270"/>
        <w:rPr>
          <w:rFonts w:eastAsia="Calibri" w:cs="Arial"/>
        </w:rPr>
      </w:pPr>
      <w:r w:rsidRPr="005B2445">
        <w:rPr>
          <w:rFonts w:eastAsia="Calibri" w:cs="Arial"/>
        </w:rPr>
        <w:t>Deaf and Disabled Telecommunications Program</w:t>
      </w:r>
      <w:r>
        <w:rPr>
          <w:rFonts w:eastAsia="Calibri" w:cs="Arial"/>
        </w:rPr>
        <w:t xml:space="preserve"> </w:t>
      </w:r>
      <w:r w:rsidRPr="005B2445">
        <w:rPr>
          <w:rFonts w:eastAsia="Calibri" w:cs="Arial"/>
        </w:rPr>
        <w:t>Administrative Committee Fund – $3,657</w:t>
      </w:r>
    </w:p>
    <w:p w14:paraId="0543DF37" w14:textId="77777777" w:rsidR="00256605" w:rsidRPr="006B5578" w:rsidRDefault="00256605" w:rsidP="00FF3633">
      <w:pPr>
        <w:numPr>
          <w:ilvl w:val="0"/>
          <w:numId w:val="34"/>
        </w:numPr>
        <w:ind w:left="630" w:hanging="270"/>
        <w:rPr>
          <w:rFonts w:eastAsia="Calibri" w:cs="Arial"/>
        </w:rPr>
      </w:pPr>
      <w:r w:rsidRPr="006B5578">
        <w:rPr>
          <w:rFonts w:eastAsia="Calibri" w:cs="Arial"/>
        </w:rPr>
        <w:t>Vending Stand Fund – $3,361</w:t>
      </w:r>
    </w:p>
    <w:p w14:paraId="17D704A5" w14:textId="2B43B7AA" w:rsidR="00256605" w:rsidRPr="006B5578" w:rsidRDefault="00256605" w:rsidP="00FF3633">
      <w:pPr>
        <w:numPr>
          <w:ilvl w:val="0"/>
          <w:numId w:val="34"/>
        </w:numPr>
        <w:ind w:left="630" w:hanging="270"/>
        <w:rPr>
          <w:rFonts w:eastAsia="Calibri" w:cs="Arial"/>
        </w:rPr>
      </w:pPr>
      <w:r w:rsidRPr="006B5578">
        <w:rPr>
          <w:rFonts w:eastAsia="Calibri" w:cs="Arial"/>
        </w:rPr>
        <w:t>Federal Funds – $</w:t>
      </w:r>
      <w:r w:rsidR="002C44B0" w:rsidRPr="006B5578">
        <w:rPr>
          <w:rFonts w:eastAsia="Calibri" w:cs="Arial"/>
        </w:rPr>
        <w:t>475,984</w:t>
      </w:r>
      <w:r w:rsidR="00634E05" w:rsidRPr="006B5578">
        <w:rPr>
          <w:rFonts w:eastAsia="Calibri" w:cs="Arial"/>
        </w:rPr>
        <w:t xml:space="preserve"> </w:t>
      </w:r>
      <w:r w:rsidRPr="006B5578">
        <w:rPr>
          <w:rFonts w:eastAsia="Calibri" w:cs="Arial"/>
        </w:rPr>
        <w:t>including $10,066 in Local Assistance</w:t>
      </w:r>
    </w:p>
    <w:p w14:paraId="2ED9E23E" w14:textId="77777777" w:rsidR="00256605" w:rsidRPr="006B5578" w:rsidRDefault="00256605" w:rsidP="00FF3633">
      <w:pPr>
        <w:numPr>
          <w:ilvl w:val="0"/>
          <w:numId w:val="34"/>
        </w:numPr>
        <w:ind w:left="630" w:hanging="270"/>
        <w:rPr>
          <w:rFonts w:eastAsia="Calibri" w:cs="Arial"/>
        </w:rPr>
      </w:pPr>
      <w:r w:rsidRPr="006B5578">
        <w:rPr>
          <w:rFonts w:eastAsia="Calibri" w:cs="Arial"/>
        </w:rPr>
        <w:t>Reimbursement – $8,080</w:t>
      </w:r>
    </w:p>
    <w:p w14:paraId="373E7E3E" w14:textId="77777777" w:rsidR="00FE2B08" w:rsidRPr="006B5578" w:rsidRDefault="00FE2B08" w:rsidP="006B5578">
      <w:pPr>
        <w:ind w:left="360"/>
        <w:rPr>
          <w:rFonts w:eastAsia="Calibri" w:cs="Arial"/>
        </w:rPr>
      </w:pPr>
    </w:p>
    <w:p w14:paraId="5236BFA7" w14:textId="12E3C13A" w:rsidR="00697D95" w:rsidRPr="006B5578" w:rsidRDefault="00971BFF" w:rsidP="00FE2B08">
      <w:pPr>
        <w:rPr>
          <w:rFonts w:cs="Arial"/>
          <w:b/>
          <w:bCs/>
          <w:u w:val="single"/>
        </w:rPr>
      </w:pPr>
      <w:r w:rsidRPr="006B5578">
        <w:rPr>
          <w:rFonts w:cs="Arial"/>
          <w:b/>
          <w:bCs/>
          <w:u w:val="single"/>
        </w:rPr>
        <w:t>Budget Highlights</w:t>
      </w:r>
    </w:p>
    <w:p w14:paraId="1FCE5F2C" w14:textId="77777777" w:rsidR="008E4874" w:rsidRPr="006B5578" w:rsidRDefault="008E4874" w:rsidP="00EE4AE7">
      <w:pPr>
        <w:rPr>
          <w:rFonts w:cs="Arial"/>
        </w:rPr>
      </w:pPr>
    </w:p>
    <w:p w14:paraId="0DB48D8F" w14:textId="071B3BDF" w:rsidR="008E4874" w:rsidRPr="006B5578" w:rsidRDefault="008E4874" w:rsidP="006B5578">
      <w:pPr>
        <w:pStyle w:val="ListParagraph"/>
        <w:numPr>
          <w:ilvl w:val="0"/>
          <w:numId w:val="39"/>
        </w:numPr>
        <w:rPr>
          <w:rFonts w:cs="Arial"/>
          <w:b/>
          <w:bCs/>
        </w:rPr>
      </w:pPr>
      <w:r w:rsidRPr="006B5578">
        <w:rPr>
          <w:rFonts w:cs="Arial"/>
          <w:b/>
          <w:bCs/>
        </w:rPr>
        <w:t xml:space="preserve">Voice Options Program </w:t>
      </w:r>
      <w:r w:rsidR="00AF3941">
        <w:rPr>
          <w:rFonts w:cs="Arial"/>
          <w:b/>
          <w:bCs/>
        </w:rPr>
        <w:t>Budget Change Proposal</w:t>
      </w:r>
      <w:r w:rsidR="00A312AC">
        <w:rPr>
          <w:rFonts w:cs="Arial"/>
          <w:b/>
          <w:bCs/>
        </w:rPr>
        <w:t xml:space="preserve"> (BCP)</w:t>
      </w:r>
    </w:p>
    <w:p w14:paraId="62A76357" w14:textId="77DA0AC1" w:rsidR="008E4874" w:rsidRPr="006B5578" w:rsidRDefault="006F0B52" w:rsidP="006B5578">
      <w:pPr>
        <w:ind w:left="720"/>
        <w:rPr>
          <w:rFonts w:cs="Arial"/>
        </w:rPr>
      </w:pPr>
      <w:r w:rsidRPr="006B5578">
        <w:rPr>
          <w:rFonts w:cs="Arial"/>
        </w:rPr>
        <w:t>DOR</w:t>
      </w:r>
      <w:r w:rsidR="00A312AC">
        <w:rPr>
          <w:rFonts w:cs="Arial"/>
        </w:rPr>
        <w:t xml:space="preserve">’s budget includes </w:t>
      </w:r>
      <w:r w:rsidR="008E4874" w:rsidRPr="006B5578">
        <w:rPr>
          <w:rFonts w:cs="Arial"/>
        </w:rPr>
        <w:t>$3</w:t>
      </w:r>
      <w:r w:rsidR="00AD0834">
        <w:rPr>
          <w:rFonts w:cs="Arial"/>
        </w:rPr>
        <w:t>,657</w:t>
      </w:r>
      <w:r w:rsidR="008E4874" w:rsidRPr="006B5578">
        <w:rPr>
          <w:rFonts w:cs="Arial"/>
        </w:rPr>
        <w:t xml:space="preserve"> in</w:t>
      </w:r>
      <w:r w:rsidRPr="006B5578">
        <w:rPr>
          <w:rFonts w:cs="Arial"/>
        </w:rPr>
        <w:t xml:space="preserve"> Deaf and Disabled Telecommunications Program </w:t>
      </w:r>
      <w:r w:rsidR="008E4874" w:rsidRPr="006B5578">
        <w:rPr>
          <w:rFonts w:cs="Arial"/>
        </w:rPr>
        <w:t xml:space="preserve">Administrative Committee Fund and </w:t>
      </w:r>
      <w:r w:rsidR="007433A2">
        <w:rPr>
          <w:rFonts w:cs="Arial"/>
        </w:rPr>
        <w:t>3.75</w:t>
      </w:r>
      <w:r w:rsidR="008E4874" w:rsidRPr="006B5578">
        <w:rPr>
          <w:rFonts w:cs="Arial"/>
        </w:rPr>
        <w:t xml:space="preserve"> </w:t>
      </w:r>
      <w:r w:rsidR="007433A2">
        <w:rPr>
          <w:rFonts w:cs="Arial"/>
        </w:rPr>
        <w:t>FTE</w:t>
      </w:r>
      <w:r w:rsidR="00DF1CE5">
        <w:rPr>
          <w:rFonts w:cs="Arial"/>
        </w:rPr>
        <w:t xml:space="preserve"> </w:t>
      </w:r>
      <w:r w:rsidR="008E4874" w:rsidRPr="006B5578">
        <w:rPr>
          <w:rFonts w:cs="Arial"/>
        </w:rPr>
        <w:t>to administer</w:t>
      </w:r>
      <w:r w:rsidR="007433A2">
        <w:rPr>
          <w:rFonts w:cs="Arial"/>
        </w:rPr>
        <w:t xml:space="preserve"> </w:t>
      </w:r>
      <w:r w:rsidR="008E4874" w:rsidRPr="006B5578">
        <w:rPr>
          <w:rFonts w:cs="Arial"/>
        </w:rPr>
        <w:t>the Voice Options program</w:t>
      </w:r>
      <w:r w:rsidRPr="006B5578">
        <w:rPr>
          <w:rFonts w:cs="Arial"/>
        </w:rPr>
        <w:t xml:space="preserve">. </w:t>
      </w:r>
      <w:r w:rsidR="00A312AC">
        <w:rPr>
          <w:rFonts w:cs="Arial"/>
        </w:rPr>
        <w:t xml:space="preserve">If this BCP is approved, DOR </w:t>
      </w:r>
      <w:r w:rsidRPr="006B5578">
        <w:rPr>
          <w:rFonts w:cs="Arial"/>
        </w:rPr>
        <w:t xml:space="preserve">will </w:t>
      </w:r>
      <w:r w:rsidR="00DF1CE5">
        <w:rPr>
          <w:rFonts w:cs="Arial"/>
        </w:rPr>
        <w:t xml:space="preserve">have </w:t>
      </w:r>
      <w:r w:rsidRPr="006B5578">
        <w:rPr>
          <w:rFonts w:cs="Arial"/>
        </w:rPr>
        <w:t>ongoing funding and staff resources to continue serving individuals with speech disabilities by providing speech generating devices to gain independence and direct access to the telecommunication network.</w:t>
      </w:r>
      <w:r w:rsidR="007433A2">
        <w:rPr>
          <w:rFonts w:cs="Arial"/>
        </w:rPr>
        <w:t xml:space="preserve"> An additional 0.25 FTE is also requested to oversee the Assistive Technology program.</w:t>
      </w:r>
    </w:p>
    <w:p w14:paraId="69FD102F" w14:textId="77777777" w:rsidR="008E4874" w:rsidRPr="006B5578" w:rsidRDefault="008E4874" w:rsidP="00EE4AE7">
      <w:pPr>
        <w:rPr>
          <w:rFonts w:cs="Arial"/>
        </w:rPr>
      </w:pPr>
    </w:p>
    <w:p w14:paraId="726F425F" w14:textId="140033BA" w:rsidR="008E4874" w:rsidRPr="006B5578" w:rsidRDefault="00BC47F9" w:rsidP="006B5578">
      <w:pPr>
        <w:pStyle w:val="ListParagraph"/>
        <w:numPr>
          <w:ilvl w:val="0"/>
          <w:numId w:val="39"/>
        </w:numPr>
        <w:rPr>
          <w:rFonts w:cs="Arial"/>
          <w:b/>
          <w:bCs/>
        </w:rPr>
      </w:pPr>
      <w:r w:rsidRPr="006B5578">
        <w:rPr>
          <w:rFonts w:cs="Arial"/>
          <w:b/>
          <w:bCs/>
        </w:rPr>
        <w:t>Support</w:t>
      </w:r>
      <w:r w:rsidR="00E3784B" w:rsidRPr="006B5578">
        <w:rPr>
          <w:rFonts w:cs="Arial"/>
          <w:b/>
          <w:bCs/>
        </w:rPr>
        <w:t>ed</w:t>
      </w:r>
      <w:r w:rsidRPr="006B5578">
        <w:rPr>
          <w:rFonts w:cs="Arial"/>
          <w:b/>
          <w:bCs/>
        </w:rPr>
        <w:t xml:space="preserve"> Employment</w:t>
      </w:r>
      <w:r w:rsidR="00D74053">
        <w:rPr>
          <w:rFonts w:cs="Arial"/>
          <w:b/>
          <w:bCs/>
        </w:rPr>
        <w:t xml:space="preserve"> (SE)</w:t>
      </w:r>
      <w:r w:rsidR="00E3784B">
        <w:rPr>
          <w:rFonts w:cs="Arial"/>
          <w:b/>
          <w:bCs/>
        </w:rPr>
        <w:t xml:space="preserve"> Job Coaching </w:t>
      </w:r>
      <w:r w:rsidR="00D74053">
        <w:rPr>
          <w:rFonts w:cs="Arial"/>
          <w:b/>
          <w:bCs/>
        </w:rPr>
        <w:t xml:space="preserve">(JC) </w:t>
      </w:r>
      <w:r w:rsidR="00E3784B">
        <w:rPr>
          <w:rFonts w:cs="Arial"/>
          <w:b/>
          <w:bCs/>
        </w:rPr>
        <w:t>Hourly Rate</w:t>
      </w:r>
      <w:r w:rsidR="000142B2">
        <w:rPr>
          <w:rFonts w:cs="Arial"/>
          <w:b/>
          <w:bCs/>
        </w:rPr>
        <w:t xml:space="preserve"> Paid to Providers</w:t>
      </w:r>
    </w:p>
    <w:p w14:paraId="77D6CC91" w14:textId="6F14CC37" w:rsidR="00AF3941" w:rsidRDefault="008E0F6D">
      <w:pPr>
        <w:ind w:left="720"/>
        <w:rPr>
          <w:rStyle w:val="ui-provider"/>
        </w:rPr>
      </w:pPr>
      <w:r>
        <w:rPr>
          <w:rStyle w:val="ui-provider"/>
        </w:rPr>
        <w:t>DOR’s budget includes a reduction of $1,555 General Fund due to delay in</w:t>
      </w:r>
      <w:r w:rsidR="006B6AED">
        <w:rPr>
          <w:rStyle w:val="ui-provider"/>
        </w:rPr>
        <w:t xml:space="preserve"> the final phase of </w:t>
      </w:r>
      <w:r>
        <w:rPr>
          <w:rStyle w:val="ui-provider"/>
        </w:rPr>
        <w:t xml:space="preserve">SE JC rate increases. The rate increases were implemented in April of 2022, through a phased approach, to align with the Department of Developmental Services (DDS) provider rates. The </w:t>
      </w:r>
      <w:r w:rsidR="006B6AED">
        <w:rPr>
          <w:rStyle w:val="ui-provider"/>
        </w:rPr>
        <w:t xml:space="preserve">final phase of the </w:t>
      </w:r>
      <w:r>
        <w:rPr>
          <w:rStyle w:val="ui-provider"/>
        </w:rPr>
        <w:t xml:space="preserve">rate </w:t>
      </w:r>
      <w:r w:rsidR="006B6AED">
        <w:rPr>
          <w:rStyle w:val="ui-provider"/>
        </w:rPr>
        <w:t>increases</w:t>
      </w:r>
      <w:r>
        <w:rPr>
          <w:rStyle w:val="ui-provider"/>
        </w:rPr>
        <w:t xml:space="preserve"> was accelerated to July 2024 per SB 188 (Section 4519.10); however, it </w:t>
      </w:r>
      <w:r w:rsidR="00027A2B">
        <w:rPr>
          <w:rStyle w:val="ui-provider"/>
        </w:rPr>
        <w:t>was</w:t>
      </w:r>
      <w:r>
        <w:rPr>
          <w:rStyle w:val="ui-provider"/>
        </w:rPr>
        <w:t xml:space="preserve"> shifted back to its original date of July 2025 to help address the budget deficit.</w:t>
      </w:r>
      <w:r w:rsidR="007433A2" w:rsidRPr="007433A2">
        <w:rPr>
          <w:rStyle w:val="ui-provider"/>
        </w:rPr>
        <w:t xml:space="preserve"> </w:t>
      </w:r>
      <w:r w:rsidR="007433A2">
        <w:rPr>
          <w:rStyle w:val="ui-provider"/>
        </w:rPr>
        <w:t>Conforming with DDS provider rates will avoid adverse impacts to service delivery as both DDS and DOR serve similar populations and utilize some of the same service providers.</w:t>
      </w:r>
    </w:p>
    <w:p w14:paraId="7DD704B4" w14:textId="77777777" w:rsidR="008E0F6D" w:rsidRDefault="008E0F6D">
      <w:pPr>
        <w:ind w:left="720"/>
        <w:rPr>
          <w:rFonts w:cs="Arial"/>
        </w:rPr>
      </w:pPr>
    </w:p>
    <w:p w14:paraId="3B3071F8" w14:textId="77777777" w:rsidR="00AF3941" w:rsidRPr="0003423C" w:rsidRDefault="00AF3941" w:rsidP="00AF3941">
      <w:pPr>
        <w:pStyle w:val="ListParagraph"/>
        <w:numPr>
          <w:ilvl w:val="0"/>
          <w:numId w:val="39"/>
        </w:numPr>
        <w:rPr>
          <w:rFonts w:cs="Arial"/>
          <w:b/>
          <w:bCs/>
        </w:rPr>
      </w:pPr>
      <w:r w:rsidRPr="0003423C">
        <w:rPr>
          <w:rFonts w:cs="Arial"/>
          <w:b/>
          <w:bCs/>
        </w:rPr>
        <w:t>Employee Compensation</w:t>
      </w:r>
    </w:p>
    <w:p w14:paraId="4C90FECD" w14:textId="1133BD51" w:rsidR="00AF3941" w:rsidRPr="0003423C" w:rsidRDefault="00A312AC" w:rsidP="00AF3941">
      <w:pPr>
        <w:ind w:left="720"/>
        <w:rPr>
          <w:rFonts w:cs="Arial"/>
        </w:rPr>
      </w:pPr>
      <w:r>
        <w:rPr>
          <w:rFonts w:cs="Arial"/>
        </w:rPr>
        <w:t xml:space="preserve">DOR’s budget includes </w:t>
      </w:r>
      <w:r w:rsidR="00AF3941" w:rsidRPr="0003423C">
        <w:rPr>
          <w:rFonts w:cs="Arial"/>
        </w:rPr>
        <w:t>$14</w:t>
      </w:r>
      <w:r w:rsidR="00AF3941">
        <w:rPr>
          <w:rFonts w:cs="Arial"/>
        </w:rPr>
        <w:t>,329</w:t>
      </w:r>
      <w:r w:rsidR="00AF3941" w:rsidRPr="0003423C">
        <w:rPr>
          <w:rFonts w:cs="Arial"/>
        </w:rPr>
        <w:t xml:space="preserve"> ($3</w:t>
      </w:r>
      <w:r w:rsidR="00AF3941">
        <w:rPr>
          <w:rFonts w:cs="Arial"/>
        </w:rPr>
        <w:t>,052</w:t>
      </w:r>
      <w:r w:rsidR="00AF3941" w:rsidRPr="0003423C">
        <w:rPr>
          <w:rFonts w:cs="Arial"/>
        </w:rPr>
        <w:t xml:space="preserve"> General Fund)</w:t>
      </w:r>
      <w:r>
        <w:rPr>
          <w:rFonts w:cs="Arial"/>
        </w:rPr>
        <w:t xml:space="preserve"> in personnel costs</w:t>
      </w:r>
      <w:r w:rsidR="00AF3941" w:rsidRPr="0003423C">
        <w:rPr>
          <w:rFonts w:cs="Arial"/>
        </w:rPr>
        <w:t xml:space="preserve"> due to various salary, benefits, and retirement rate adjustments</w:t>
      </w:r>
      <w:r w:rsidR="00341135">
        <w:rPr>
          <w:rFonts w:cs="Arial"/>
        </w:rPr>
        <w:t xml:space="preserve"> outlined in the negotiated bargaining union contracts.</w:t>
      </w:r>
    </w:p>
    <w:p w14:paraId="5CD93529" w14:textId="77777777" w:rsidR="00A312AC" w:rsidRPr="006B5578" w:rsidRDefault="00A312AC" w:rsidP="006B5578">
      <w:pPr>
        <w:pStyle w:val="ListParagraph"/>
        <w:rPr>
          <w:rFonts w:cs="Arial"/>
        </w:rPr>
      </w:pPr>
    </w:p>
    <w:p w14:paraId="1B132B93" w14:textId="23220D95" w:rsidR="005E010A" w:rsidRPr="006B5578" w:rsidRDefault="00C446A5" w:rsidP="00FE2B08">
      <w:pPr>
        <w:pStyle w:val="Heading1"/>
        <w:spacing w:before="0" w:after="0"/>
        <w:rPr>
          <w:sz w:val="24"/>
          <w:szCs w:val="24"/>
        </w:rPr>
      </w:pPr>
      <w:r w:rsidRPr="006B5578">
        <w:rPr>
          <w:sz w:val="24"/>
          <w:szCs w:val="24"/>
        </w:rPr>
        <w:lastRenderedPageBreak/>
        <w:t>Staffing</w:t>
      </w:r>
    </w:p>
    <w:p w14:paraId="497B5682" w14:textId="44D44970" w:rsidR="00827A09" w:rsidRPr="006B5578" w:rsidRDefault="009E0270" w:rsidP="00FE2B08">
      <w:r w:rsidRPr="006B5578">
        <w:t xml:space="preserve">The </w:t>
      </w:r>
      <w:r w:rsidR="00CA0599" w:rsidRPr="006B5578">
        <w:t>D</w:t>
      </w:r>
      <w:r w:rsidR="009A64C7" w:rsidRPr="006B5578">
        <w:t>OR</w:t>
      </w:r>
      <w:r w:rsidR="00CA0599" w:rsidRPr="006B5578">
        <w:t xml:space="preserve"> is allocated</w:t>
      </w:r>
      <w:r w:rsidR="00BD4087" w:rsidRPr="006B5578">
        <w:t xml:space="preserve"> 1</w:t>
      </w:r>
      <w:r w:rsidR="00FE2B08" w:rsidRPr="006B5578">
        <w:t>,</w:t>
      </w:r>
      <w:r w:rsidR="00BD4087" w:rsidRPr="006B5578">
        <w:t>88</w:t>
      </w:r>
      <w:r w:rsidR="00BC47F9" w:rsidRPr="006B5578">
        <w:t>3</w:t>
      </w:r>
      <w:r w:rsidR="00C446A5" w:rsidRPr="006B5578">
        <w:t xml:space="preserve"> total </w:t>
      </w:r>
      <w:r w:rsidR="00CC23BD" w:rsidRPr="006B5578">
        <w:t>positions</w:t>
      </w:r>
      <w:r w:rsidR="00F9002C" w:rsidRPr="006B5578">
        <w:t>.</w:t>
      </w:r>
      <w:r w:rsidR="004763F1" w:rsidRPr="006B5578">
        <w:t xml:space="preserve"> This includes 1,7</w:t>
      </w:r>
      <w:r w:rsidR="00BC47F9" w:rsidRPr="006B5578">
        <w:t>92</w:t>
      </w:r>
      <w:r w:rsidR="004763F1" w:rsidRPr="006B5578">
        <w:t xml:space="preserve"> </w:t>
      </w:r>
      <w:r w:rsidR="00FE2B08" w:rsidRPr="006B5578">
        <w:t>permanent positions</w:t>
      </w:r>
      <w:r w:rsidR="004763F1" w:rsidRPr="006B5578">
        <w:t xml:space="preserve"> and 9</w:t>
      </w:r>
      <w:r w:rsidR="00BC47F9" w:rsidRPr="006B5578">
        <w:t>1</w:t>
      </w:r>
      <w:r w:rsidR="004763F1" w:rsidRPr="006B5578">
        <w:t xml:space="preserve"> temporary help positions.</w:t>
      </w:r>
      <w:r w:rsidR="00C80B42" w:rsidRPr="006B5578">
        <w:t xml:space="preserve"> </w:t>
      </w:r>
    </w:p>
    <w:p w14:paraId="23A11037" w14:textId="74F7E4E5" w:rsidR="00FE53AF" w:rsidRPr="006B5578" w:rsidRDefault="00FE53AF" w:rsidP="00FE2B08"/>
    <w:p w14:paraId="65151A01" w14:textId="4C8BE746" w:rsidR="00FE53AF" w:rsidRPr="006B5578" w:rsidRDefault="00FE53AF" w:rsidP="00FE2B08">
      <w:r w:rsidRPr="006B5578">
        <w:rPr>
          <w:lang w:val="en"/>
        </w:rPr>
        <w:t>More information on Governor</w:t>
      </w:r>
      <w:r w:rsidR="00D92C06" w:rsidRPr="006B5578">
        <w:rPr>
          <w:lang w:val="en"/>
        </w:rPr>
        <w:t xml:space="preserve">’s </w:t>
      </w:r>
      <w:r w:rsidRPr="006B5578">
        <w:rPr>
          <w:lang w:val="en"/>
        </w:rPr>
        <w:t>budget proposal, including the full budget summary, is available at </w:t>
      </w:r>
      <w:hyperlink r:id="rId8" w:history="1">
        <w:r w:rsidRPr="006B5578">
          <w:rPr>
            <w:rStyle w:val="Hyperlink"/>
            <w:lang w:val="en"/>
          </w:rPr>
          <w:t>www.ebudget.ca.gov</w:t>
        </w:r>
      </w:hyperlink>
      <w:r w:rsidRPr="006B5578">
        <w:rPr>
          <w:lang w:val="en"/>
        </w:rPr>
        <w:t>.</w:t>
      </w:r>
    </w:p>
    <w:sectPr w:rsidR="00FE53AF" w:rsidRPr="006B5578" w:rsidSect="0024216C">
      <w:headerReference w:type="default" r:id="rId9"/>
      <w:footerReference w:type="default" r:id="rId10"/>
      <w:pgSz w:w="12240" w:h="15840"/>
      <w:pgMar w:top="720" w:right="432" w:bottom="720" w:left="72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86C8" w14:textId="77777777" w:rsidR="00C462B2" w:rsidRDefault="00C462B2" w:rsidP="008C7C25">
      <w:r>
        <w:separator/>
      </w:r>
    </w:p>
  </w:endnote>
  <w:endnote w:type="continuationSeparator" w:id="0">
    <w:p w14:paraId="18371138" w14:textId="77777777" w:rsidR="00C462B2" w:rsidRDefault="00C462B2" w:rsidP="008C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28D" w14:textId="4723EE6B" w:rsidR="000C0A1D" w:rsidRDefault="000C0A1D" w:rsidP="00515B3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46C6" w14:textId="77777777" w:rsidR="00C462B2" w:rsidRDefault="00C462B2" w:rsidP="008C7C25">
      <w:r>
        <w:separator/>
      </w:r>
    </w:p>
  </w:footnote>
  <w:footnote w:type="continuationSeparator" w:id="0">
    <w:p w14:paraId="6E22AFB6" w14:textId="77777777" w:rsidR="00C462B2" w:rsidRDefault="00C462B2" w:rsidP="008C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0201" w14:textId="77777777" w:rsidR="00DA2C96" w:rsidRDefault="00DF0A8A" w:rsidP="00FC7C2F">
    <w:pPr>
      <w:jc w:val="center"/>
    </w:pPr>
    <w:r>
      <w:rPr>
        <w:b/>
        <w:noProof/>
        <w:u w:val="single"/>
      </w:rPr>
      <w:drawing>
        <wp:inline distT="0" distB="0" distL="0" distR="0" wp14:anchorId="65C246BB" wp14:editId="500D7C71">
          <wp:extent cx="1076325" cy="924560"/>
          <wp:effectExtent l="0" t="0" r="9525" b="8890"/>
          <wp:docPr id="11" name="Picture 11" descr="D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R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B5AC048" w14:textId="77777777" w:rsidR="00DF0A8A" w:rsidRPr="00800E9E" w:rsidRDefault="00DF0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C69"/>
    <w:multiLevelType w:val="hybridMultilevel"/>
    <w:tmpl w:val="782009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CCB"/>
    <w:multiLevelType w:val="hybridMultilevel"/>
    <w:tmpl w:val="B1FC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1F34"/>
    <w:multiLevelType w:val="hybridMultilevel"/>
    <w:tmpl w:val="9372E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6022"/>
    <w:multiLevelType w:val="hybridMultilevel"/>
    <w:tmpl w:val="7F9A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E6231"/>
    <w:multiLevelType w:val="hybridMultilevel"/>
    <w:tmpl w:val="0414C192"/>
    <w:lvl w:ilvl="0" w:tplc="8A56B1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5530B"/>
    <w:multiLevelType w:val="hybridMultilevel"/>
    <w:tmpl w:val="8E1E7F18"/>
    <w:lvl w:ilvl="0" w:tplc="F208D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43DE"/>
    <w:multiLevelType w:val="hybridMultilevel"/>
    <w:tmpl w:val="B64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0788"/>
    <w:multiLevelType w:val="hybridMultilevel"/>
    <w:tmpl w:val="7B24BB64"/>
    <w:lvl w:ilvl="0" w:tplc="813AF8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62EA1"/>
    <w:multiLevelType w:val="hybridMultilevel"/>
    <w:tmpl w:val="30C6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45ECD"/>
    <w:multiLevelType w:val="hybridMultilevel"/>
    <w:tmpl w:val="8E18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919D2"/>
    <w:multiLevelType w:val="hybridMultilevel"/>
    <w:tmpl w:val="C37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E34"/>
    <w:multiLevelType w:val="hybridMultilevel"/>
    <w:tmpl w:val="C816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2126F"/>
    <w:multiLevelType w:val="hybridMultilevel"/>
    <w:tmpl w:val="22D6D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226D3"/>
    <w:multiLevelType w:val="hybridMultilevel"/>
    <w:tmpl w:val="CCD6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E1004"/>
    <w:multiLevelType w:val="hybridMultilevel"/>
    <w:tmpl w:val="53C4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566A0"/>
    <w:multiLevelType w:val="hybridMultilevel"/>
    <w:tmpl w:val="CABE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B3D41"/>
    <w:multiLevelType w:val="hybridMultilevel"/>
    <w:tmpl w:val="6ECAC03E"/>
    <w:lvl w:ilvl="0" w:tplc="061A8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850D1"/>
    <w:multiLevelType w:val="hybridMultilevel"/>
    <w:tmpl w:val="71180A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D3B6D"/>
    <w:multiLevelType w:val="hybridMultilevel"/>
    <w:tmpl w:val="90BA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5598A"/>
    <w:multiLevelType w:val="hybridMultilevel"/>
    <w:tmpl w:val="4246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524E4"/>
    <w:multiLevelType w:val="hybridMultilevel"/>
    <w:tmpl w:val="9E9AFE30"/>
    <w:lvl w:ilvl="0" w:tplc="61AC90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E3468B"/>
    <w:multiLevelType w:val="hybridMultilevel"/>
    <w:tmpl w:val="DF46191E"/>
    <w:lvl w:ilvl="0" w:tplc="E0327E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0642F"/>
    <w:multiLevelType w:val="hybridMultilevel"/>
    <w:tmpl w:val="010E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B0074"/>
    <w:multiLevelType w:val="hybridMultilevel"/>
    <w:tmpl w:val="229AB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0864B8"/>
    <w:multiLevelType w:val="hybridMultilevel"/>
    <w:tmpl w:val="5C22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92535"/>
    <w:multiLevelType w:val="hybridMultilevel"/>
    <w:tmpl w:val="9B8E2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F314C1"/>
    <w:multiLevelType w:val="hybridMultilevel"/>
    <w:tmpl w:val="A458709A"/>
    <w:lvl w:ilvl="0" w:tplc="61AC90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76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3C46FA"/>
    <w:multiLevelType w:val="hybridMultilevel"/>
    <w:tmpl w:val="2E6EB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C7D60"/>
    <w:multiLevelType w:val="hybridMultilevel"/>
    <w:tmpl w:val="4FE8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B1AD1"/>
    <w:multiLevelType w:val="hybridMultilevel"/>
    <w:tmpl w:val="3F867F66"/>
    <w:lvl w:ilvl="0" w:tplc="56A43E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01BFE"/>
    <w:multiLevelType w:val="hybridMultilevel"/>
    <w:tmpl w:val="A30A60D4"/>
    <w:lvl w:ilvl="0" w:tplc="1DCA1E4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E3CBF"/>
    <w:multiLevelType w:val="hybridMultilevel"/>
    <w:tmpl w:val="988CCA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8F7DCA"/>
    <w:multiLevelType w:val="hybridMultilevel"/>
    <w:tmpl w:val="FACE4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F037F7"/>
    <w:multiLevelType w:val="hybridMultilevel"/>
    <w:tmpl w:val="C214EA70"/>
    <w:lvl w:ilvl="0" w:tplc="A64AFA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63B45"/>
    <w:multiLevelType w:val="hybridMultilevel"/>
    <w:tmpl w:val="2CB4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354AB"/>
    <w:multiLevelType w:val="hybridMultilevel"/>
    <w:tmpl w:val="CDE6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4132">
    <w:abstractNumId w:val="1"/>
  </w:num>
  <w:num w:numId="2" w16cid:durableId="248777837">
    <w:abstractNumId w:val="15"/>
  </w:num>
  <w:num w:numId="3" w16cid:durableId="823472234">
    <w:abstractNumId w:val="3"/>
  </w:num>
  <w:num w:numId="4" w16cid:durableId="427045295">
    <w:abstractNumId w:val="19"/>
  </w:num>
  <w:num w:numId="5" w16cid:durableId="858853233">
    <w:abstractNumId w:val="31"/>
  </w:num>
  <w:num w:numId="6" w16cid:durableId="1862737892">
    <w:abstractNumId w:val="29"/>
  </w:num>
  <w:num w:numId="7" w16cid:durableId="629243139">
    <w:abstractNumId w:val="27"/>
  </w:num>
  <w:num w:numId="8" w16cid:durableId="701630098">
    <w:abstractNumId w:val="32"/>
  </w:num>
  <w:num w:numId="9" w16cid:durableId="391737546">
    <w:abstractNumId w:val="33"/>
  </w:num>
  <w:num w:numId="10" w16cid:durableId="142696691">
    <w:abstractNumId w:val="18"/>
  </w:num>
  <w:num w:numId="11" w16cid:durableId="1676608540">
    <w:abstractNumId w:val="9"/>
  </w:num>
  <w:num w:numId="12" w16cid:durableId="1408263320">
    <w:abstractNumId w:val="6"/>
  </w:num>
  <w:num w:numId="13" w16cid:durableId="1221328976">
    <w:abstractNumId w:val="35"/>
  </w:num>
  <w:num w:numId="14" w16cid:durableId="308749385">
    <w:abstractNumId w:val="10"/>
  </w:num>
  <w:num w:numId="15" w16cid:durableId="984552757">
    <w:abstractNumId w:val="11"/>
  </w:num>
  <w:num w:numId="16" w16cid:durableId="1397245752">
    <w:abstractNumId w:val="23"/>
  </w:num>
  <w:num w:numId="17" w16cid:durableId="982080465">
    <w:abstractNumId w:val="12"/>
  </w:num>
  <w:num w:numId="18" w16cid:durableId="539051064">
    <w:abstractNumId w:val="4"/>
  </w:num>
  <w:num w:numId="19" w16cid:durableId="804471372">
    <w:abstractNumId w:val="30"/>
  </w:num>
  <w:num w:numId="20" w16cid:durableId="8875720">
    <w:abstractNumId w:val="5"/>
  </w:num>
  <w:num w:numId="21" w16cid:durableId="1462960731">
    <w:abstractNumId w:val="16"/>
  </w:num>
  <w:num w:numId="22" w16cid:durableId="1681813919">
    <w:abstractNumId w:val="21"/>
  </w:num>
  <w:num w:numId="23" w16cid:durableId="558248072">
    <w:abstractNumId w:val="20"/>
  </w:num>
  <w:num w:numId="24" w16cid:durableId="100489680">
    <w:abstractNumId w:val="36"/>
  </w:num>
  <w:num w:numId="25" w16cid:durableId="1779988562">
    <w:abstractNumId w:val="26"/>
  </w:num>
  <w:num w:numId="26" w16cid:durableId="1848518236">
    <w:abstractNumId w:val="17"/>
  </w:num>
  <w:num w:numId="27" w16cid:durableId="7942970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9564297">
    <w:abstractNumId w:val="2"/>
  </w:num>
  <w:num w:numId="29" w16cid:durableId="288315634">
    <w:abstractNumId w:val="7"/>
  </w:num>
  <w:num w:numId="30" w16cid:durableId="1096365138">
    <w:abstractNumId w:val="34"/>
  </w:num>
  <w:num w:numId="31" w16cid:durableId="963847285">
    <w:abstractNumId w:val="14"/>
  </w:num>
  <w:num w:numId="32" w16cid:durableId="2104295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1807794">
    <w:abstractNumId w:val="34"/>
  </w:num>
  <w:num w:numId="34" w16cid:durableId="494996407">
    <w:abstractNumId w:val="0"/>
  </w:num>
  <w:num w:numId="35" w16cid:durableId="1745251442">
    <w:abstractNumId w:val="0"/>
  </w:num>
  <w:num w:numId="36" w16cid:durableId="1440488530">
    <w:abstractNumId w:val="24"/>
  </w:num>
  <w:num w:numId="37" w16cid:durableId="349768217">
    <w:abstractNumId w:val="22"/>
  </w:num>
  <w:num w:numId="38" w16cid:durableId="717823111">
    <w:abstractNumId w:val="28"/>
  </w:num>
  <w:num w:numId="39" w16cid:durableId="663749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7D"/>
    <w:rsid w:val="00003DCE"/>
    <w:rsid w:val="000142B2"/>
    <w:rsid w:val="000152D5"/>
    <w:rsid w:val="00016D67"/>
    <w:rsid w:val="00025D1A"/>
    <w:rsid w:val="00025E58"/>
    <w:rsid w:val="00027A2B"/>
    <w:rsid w:val="00032642"/>
    <w:rsid w:val="00036136"/>
    <w:rsid w:val="00040351"/>
    <w:rsid w:val="000403B4"/>
    <w:rsid w:val="00044F5E"/>
    <w:rsid w:val="00045263"/>
    <w:rsid w:val="000459F1"/>
    <w:rsid w:val="00046011"/>
    <w:rsid w:val="00047F4E"/>
    <w:rsid w:val="00050797"/>
    <w:rsid w:val="00054BD7"/>
    <w:rsid w:val="00056C09"/>
    <w:rsid w:val="000661F5"/>
    <w:rsid w:val="0007435A"/>
    <w:rsid w:val="00082B44"/>
    <w:rsid w:val="000A03C6"/>
    <w:rsid w:val="000B05B9"/>
    <w:rsid w:val="000B19BC"/>
    <w:rsid w:val="000C0A1D"/>
    <w:rsid w:val="000C4276"/>
    <w:rsid w:val="000C5B57"/>
    <w:rsid w:val="000D11EE"/>
    <w:rsid w:val="000E1319"/>
    <w:rsid w:val="000E2238"/>
    <w:rsid w:val="000E4799"/>
    <w:rsid w:val="000F279F"/>
    <w:rsid w:val="000F4250"/>
    <w:rsid w:val="00103CD5"/>
    <w:rsid w:val="00104767"/>
    <w:rsid w:val="0010576E"/>
    <w:rsid w:val="00116BAD"/>
    <w:rsid w:val="00121D14"/>
    <w:rsid w:val="00122EDA"/>
    <w:rsid w:val="00130EA9"/>
    <w:rsid w:val="00131F3F"/>
    <w:rsid w:val="0013256E"/>
    <w:rsid w:val="0013323A"/>
    <w:rsid w:val="0013586A"/>
    <w:rsid w:val="00135EF9"/>
    <w:rsid w:val="00136EEE"/>
    <w:rsid w:val="0014172A"/>
    <w:rsid w:val="00170C34"/>
    <w:rsid w:val="00174BD8"/>
    <w:rsid w:val="00187746"/>
    <w:rsid w:val="0019156F"/>
    <w:rsid w:val="00194C1A"/>
    <w:rsid w:val="00197324"/>
    <w:rsid w:val="001A1673"/>
    <w:rsid w:val="001A3783"/>
    <w:rsid w:val="001A4B77"/>
    <w:rsid w:val="001B13CC"/>
    <w:rsid w:val="001B7FC2"/>
    <w:rsid w:val="001C4054"/>
    <w:rsid w:val="001E0C02"/>
    <w:rsid w:val="001E343B"/>
    <w:rsid w:val="001F04E4"/>
    <w:rsid w:val="001F3E0D"/>
    <w:rsid w:val="001F3F71"/>
    <w:rsid w:val="001F5305"/>
    <w:rsid w:val="00203112"/>
    <w:rsid w:val="00221A94"/>
    <w:rsid w:val="00226D75"/>
    <w:rsid w:val="00230CBA"/>
    <w:rsid w:val="00234163"/>
    <w:rsid w:val="0023676B"/>
    <w:rsid w:val="00236E5B"/>
    <w:rsid w:val="00237F28"/>
    <w:rsid w:val="002401AF"/>
    <w:rsid w:val="0024216C"/>
    <w:rsid w:val="00244FC7"/>
    <w:rsid w:val="00245E03"/>
    <w:rsid w:val="00253AF2"/>
    <w:rsid w:val="00253D74"/>
    <w:rsid w:val="00256605"/>
    <w:rsid w:val="00266AE4"/>
    <w:rsid w:val="00270BF0"/>
    <w:rsid w:val="00284781"/>
    <w:rsid w:val="00284F0C"/>
    <w:rsid w:val="00286590"/>
    <w:rsid w:val="00293B0E"/>
    <w:rsid w:val="0029665F"/>
    <w:rsid w:val="00297E54"/>
    <w:rsid w:val="002A57B7"/>
    <w:rsid w:val="002B03A1"/>
    <w:rsid w:val="002B6B97"/>
    <w:rsid w:val="002B71D2"/>
    <w:rsid w:val="002C0397"/>
    <w:rsid w:val="002C23EC"/>
    <w:rsid w:val="002C44B0"/>
    <w:rsid w:val="002D2FA5"/>
    <w:rsid w:val="002D4835"/>
    <w:rsid w:val="002D634A"/>
    <w:rsid w:val="002D669E"/>
    <w:rsid w:val="002D6F04"/>
    <w:rsid w:val="002E2167"/>
    <w:rsid w:val="002E49D5"/>
    <w:rsid w:val="002F6CEE"/>
    <w:rsid w:val="00300931"/>
    <w:rsid w:val="0030496A"/>
    <w:rsid w:val="003050D2"/>
    <w:rsid w:val="003222A1"/>
    <w:rsid w:val="003232E9"/>
    <w:rsid w:val="00332711"/>
    <w:rsid w:val="00336DF8"/>
    <w:rsid w:val="00341135"/>
    <w:rsid w:val="003422CE"/>
    <w:rsid w:val="003474A9"/>
    <w:rsid w:val="0035013E"/>
    <w:rsid w:val="0035352D"/>
    <w:rsid w:val="00373614"/>
    <w:rsid w:val="00374529"/>
    <w:rsid w:val="003A648D"/>
    <w:rsid w:val="003B31C6"/>
    <w:rsid w:val="003B4F43"/>
    <w:rsid w:val="003B5F57"/>
    <w:rsid w:val="003B68B9"/>
    <w:rsid w:val="003C4F1A"/>
    <w:rsid w:val="003D49D1"/>
    <w:rsid w:val="003D5888"/>
    <w:rsid w:val="003E3FAA"/>
    <w:rsid w:val="003E427C"/>
    <w:rsid w:val="003E58F7"/>
    <w:rsid w:val="003E6554"/>
    <w:rsid w:val="003F7E3D"/>
    <w:rsid w:val="0040479E"/>
    <w:rsid w:val="004047A1"/>
    <w:rsid w:val="00410D83"/>
    <w:rsid w:val="00410DB0"/>
    <w:rsid w:val="004244B3"/>
    <w:rsid w:val="00424FDB"/>
    <w:rsid w:val="0042580C"/>
    <w:rsid w:val="00426FFA"/>
    <w:rsid w:val="004352B2"/>
    <w:rsid w:val="00435F4A"/>
    <w:rsid w:val="004403DB"/>
    <w:rsid w:val="00443837"/>
    <w:rsid w:val="00451434"/>
    <w:rsid w:val="00453467"/>
    <w:rsid w:val="0045776F"/>
    <w:rsid w:val="0046167B"/>
    <w:rsid w:val="004666B1"/>
    <w:rsid w:val="004763F1"/>
    <w:rsid w:val="00484FEF"/>
    <w:rsid w:val="00485DA3"/>
    <w:rsid w:val="004873C3"/>
    <w:rsid w:val="004A293C"/>
    <w:rsid w:val="004C4DE5"/>
    <w:rsid w:val="004C5913"/>
    <w:rsid w:val="004C7C9C"/>
    <w:rsid w:val="004F0206"/>
    <w:rsid w:val="0050168C"/>
    <w:rsid w:val="00504BEA"/>
    <w:rsid w:val="00510754"/>
    <w:rsid w:val="005121C4"/>
    <w:rsid w:val="00515B3A"/>
    <w:rsid w:val="005213EB"/>
    <w:rsid w:val="00530C7F"/>
    <w:rsid w:val="005362B3"/>
    <w:rsid w:val="00541526"/>
    <w:rsid w:val="005535DD"/>
    <w:rsid w:val="00556428"/>
    <w:rsid w:val="00556D47"/>
    <w:rsid w:val="005670E3"/>
    <w:rsid w:val="005675B0"/>
    <w:rsid w:val="005700D4"/>
    <w:rsid w:val="005734C9"/>
    <w:rsid w:val="00576EE0"/>
    <w:rsid w:val="00577BE7"/>
    <w:rsid w:val="00581B6F"/>
    <w:rsid w:val="00582C9B"/>
    <w:rsid w:val="00583334"/>
    <w:rsid w:val="0059292C"/>
    <w:rsid w:val="005A1605"/>
    <w:rsid w:val="005A312A"/>
    <w:rsid w:val="005B5E80"/>
    <w:rsid w:val="005C3985"/>
    <w:rsid w:val="005C4B7D"/>
    <w:rsid w:val="005C504F"/>
    <w:rsid w:val="005D1490"/>
    <w:rsid w:val="005D5FA9"/>
    <w:rsid w:val="005D6595"/>
    <w:rsid w:val="005D7884"/>
    <w:rsid w:val="005D79AF"/>
    <w:rsid w:val="005E010A"/>
    <w:rsid w:val="005F435C"/>
    <w:rsid w:val="005F7377"/>
    <w:rsid w:val="00605813"/>
    <w:rsid w:val="00605C64"/>
    <w:rsid w:val="00611316"/>
    <w:rsid w:val="00611E7B"/>
    <w:rsid w:val="00614C5A"/>
    <w:rsid w:val="00614FEF"/>
    <w:rsid w:val="00634ABC"/>
    <w:rsid w:val="00634E05"/>
    <w:rsid w:val="00647354"/>
    <w:rsid w:val="00655098"/>
    <w:rsid w:val="006565D2"/>
    <w:rsid w:val="00667948"/>
    <w:rsid w:val="00667CF6"/>
    <w:rsid w:val="006739FC"/>
    <w:rsid w:val="00673BE3"/>
    <w:rsid w:val="00675C36"/>
    <w:rsid w:val="00697D95"/>
    <w:rsid w:val="006B4028"/>
    <w:rsid w:val="006B5578"/>
    <w:rsid w:val="006B6AED"/>
    <w:rsid w:val="006B7953"/>
    <w:rsid w:val="006B7E69"/>
    <w:rsid w:val="006C1B29"/>
    <w:rsid w:val="006C3797"/>
    <w:rsid w:val="006D6BDA"/>
    <w:rsid w:val="006E33AD"/>
    <w:rsid w:val="006E4D3C"/>
    <w:rsid w:val="006F016E"/>
    <w:rsid w:val="006F0975"/>
    <w:rsid w:val="006F0B52"/>
    <w:rsid w:val="00713494"/>
    <w:rsid w:val="00715603"/>
    <w:rsid w:val="00716FFD"/>
    <w:rsid w:val="0072787C"/>
    <w:rsid w:val="00732801"/>
    <w:rsid w:val="007333D7"/>
    <w:rsid w:val="00741182"/>
    <w:rsid w:val="007433A2"/>
    <w:rsid w:val="0075457F"/>
    <w:rsid w:val="00754B8B"/>
    <w:rsid w:val="007613F6"/>
    <w:rsid w:val="007652ED"/>
    <w:rsid w:val="00791BF2"/>
    <w:rsid w:val="00791D7F"/>
    <w:rsid w:val="007A15EE"/>
    <w:rsid w:val="007A21F1"/>
    <w:rsid w:val="007A6E5E"/>
    <w:rsid w:val="007B7C88"/>
    <w:rsid w:val="007C1FF6"/>
    <w:rsid w:val="007C351B"/>
    <w:rsid w:val="007F4D89"/>
    <w:rsid w:val="007F57A5"/>
    <w:rsid w:val="007F6BF3"/>
    <w:rsid w:val="00800E9E"/>
    <w:rsid w:val="00801BE4"/>
    <w:rsid w:val="008068B6"/>
    <w:rsid w:val="00820E93"/>
    <w:rsid w:val="00826CBE"/>
    <w:rsid w:val="00827A09"/>
    <w:rsid w:val="00827B0F"/>
    <w:rsid w:val="00831B35"/>
    <w:rsid w:val="00831BA3"/>
    <w:rsid w:val="00833509"/>
    <w:rsid w:val="00833804"/>
    <w:rsid w:val="00835CDB"/>
    <w:rsid w:val="00837EF1"/>
    <w:rsid w:val="00841BF0"/>
    <w:rsid w:val="00846EE5"/>
    <w:rsid w:val="00850A54"/>
    <w:rsid w:val="008553A4"/>
    <w:rsid w:val="00856DA4"/>
    <w:rsid w:val="00861456"/>
    <w:rsid w:val="00862C15"/>
    <w:rsid w:val="00865373"/>
    <w:rsid w:val="00875CE3"/>
    <w:rsid w:val="008907D5"/>
    <w:rsid w:val="00890807"/>
    <w:rsid w:val="00895D2F"/>
    <w:rsid w:val="008A3E7E"/>
    <w:rsid w:val="008C3989"/>
    <w:rsid w:val="008C5FA3"/>
    <w:rsid w:val="008C6246"/>
    <w:rsid w:val="008C7C25"/>
    <w:rsid w:val="008D01A4"/>
    <w:rsid w:val="008D3989"/>
    <w:rsid w:val="008E0F6D"/>
    <w:rsid w:val="008E4874"/>
    <w:rsid w:val="008F03DF"/>
    <w:rsid w:val="008F0A6D"/>
    <w:rsid w:val="00917B5D"/>
    <w:rsid w:val="009268A1"/>
    <w:rsid w:val="00935C01"/>
    <w:rsid w:val="009409B7"/>
    <w:rsid w:val="00946846"/>
    <w:rsid w:val="00946859"/>
    <w:rsid w:val="00965786"/>
    <w:rsid w:val="00970511"/>
    <w:rsid w:val="009711DE"/>
    <w:rsid w:val="00971BFF"/>
    <w:rsid w:val="0097785D"/>
    <w:rsid w:val="00984CF3"/>
    <w:rsid w:val="0098740E"/>
    <w:rsid w:val="00990B70"/>
    <w:rsid w:val="009A0B28"/>
    <w:rsid w:val="009A64C7"/>
    <w:rsid w:val="009B192B"/>
    <w:rsid w:val="009B2EE6"/>
    <w:rsid w:val="009C3DA8"/>
    <w:rsid w:val="009C6957"/>
    <w:rsid w:val="009C752B"/>
    <w:rsid w:val="009D268B"/>
    <w:rsid w:val="009D26D0"/>
    <w:rsid w:val="009D4DF7"/>
    <w:rsid w:val="009E0270"/>
    <w:rsid w:val="009E090B"/>
    <w:rsid w:val="009F3B08"/>
    <w:rsid w:val="009F4167"/>
    <w:rsid w:val="009F59FE"/>
    <w:rsid w:val="00A1246A"/>
    <w:rsid w:val="00A25B2A"/>
    <w:rsid w:val="00A312AC"/>
    <w:rsid w:val="00A34CB0"/>
    <w:rsid w:val="00A512FF"/>
    <w:rsid w:val="00A55635"/>
    <w:rsid w:val="00A6180E"/>
    <w:rsid w:val="00A62E8B"/>
    <w:rsid w:val="00A81266"/>
    <w:rsid w:val="00A82FDF"/>
    <w:rsid w:val="00AB1AA4"/>
    <w:rsid w:val="00AB6077"/>
    <w:rsid w:val="00AC15BF"/>
    <w:rsid w:val="00AC4300"/>
    <w:rsid w:val="00AC7526"/>
    <w:rsid w:val="00AD0834"/>
    <w:rsid w:val="00AD2DA5"/>
    <w:rsid w:val="00AD314C"/>
    <w:rsid w:val="00AE03C3"/>
    <w:rsid w:val="00AE7F6B"/>
    <w:rsid w:val="00AF0C4D"/>
    <w:rsid w:val="00AF3941"/>
    <w:rsid w:val="00B00443"/>
    <w:rsid w:val="00B06ACC"/>
    <w:rsid w:val="00B11C1E"/>
    <w:rsid w:val="00B173B4"/>
    <w:rsid w:val="00B17759"/>
    <w:rsid w:val="00B205FD"/>
    <w:rsid w:val="00B222D6"/>
    <w:rsid w:val="00B26076"/>
    <w:rsid w:val="00B32D22"/>
    <w:rsid w:val="00B40653"/>
    <w:rsid w:val="00B43322"/>
    <w:rsid w:val="00B45FFF"/>
    <w:rsid w:val="00B57B1B"/>
    <w:rsid w:val="00B62969"/>
    <w:rsid w:val="00B639C8"/>
    <w:rsid w:val="00B70146"/>
    <w:rsid w:val="00B70CED"/>
    <w:rsid w:val="00B72A47"/>
    <w:rsid w:val="00B7431A"/>
    <w:rsid w:val="00B83B25"/>
    <w:rsid w:val="00B84B04"/>
    <w:rsid w:val="00B85E71"/>
    <w:rsid w:val="00B900CF"/>
    <w:rsid w:val="00B91802"/>
    <w:rsid w:val="00B92DB4"/>
    <w:rsid w:val="00BA6870"/>
    <w:rsid w:val="00BB105C"/>
    <w:rsid w:val="00BB41D2"/>
    <w:rsid w:val="00BC2B06"/>
    <w:rsid w:val="00BC2DDC"/>
    <w:rsid w:val="00BC47F9"/>
    <w:rsid w:val="00BC52AF"/>
    <w:rsid w:val="00BD371A"/>
    <w:rsid w:val="00BD3D99"/>
    <w:rsid w:val="00BD4087"/>
    <w:rsid w:val="00BE38F0"/>
    <w:rsid w:val="00BE71CC"/>
    <w:rsid w:val="00BF0960"/>
    <w:rsid w:val="00C0757F"/>
    <w:rsid w:val="00C14CA8"/>
    <w:rsid w:val="00C166CE"/>
    <w:rsid w:val="00C26DF5"/>
    <w:rsid w:val="00C322B4"/>
    <w:rsid w:val="00C33D40"/>
    <w:rsid w:val="00C36D46"/>
    <w:rsid w:val="00C375E8"/>
    <w:rsid w:val="00C432AF"/>
    <w:rsid w:val="00C446A5"/>
    <w:rsid w:val="00C462B2"/>
    <w:rsid w:val="00C6022E"/>
    <w:rsid w:val="00C626D5"/>
    <w:rsid w:val="00C63F09"/>
    <w:rsid w:val="00C725B5"/>
    <w:rsid w:val="00C76F7F"/>
    <w:rsid w:val="00C80B42"/>
    <w:rsid w:val="00C831B4"/>
    <w:rsid w:val="00C840DE"/>
    <w:rsid w:val="00C851FD"/>
    <w:rsid w:val="00C8748E"/>
    <w:rsid w:val="00C91C8F"/>
    <w:rsid w:val="00C93A06"/>
    <w:rsid w:val="00C95FDA"/>
    <w:rsid w:val="00CA0599"/>
    <w:rsid w:val="00CA7E47"/>
    <w:rsid w:val="00CC23BD"/>
    <w:rsid w:val="00CC2573"/>
    <w:rsid w:val="00CC331C"/>
    <w:rsid w:val="00CD28A3"/>
    <w:rsid w:val="00CE0ED1"/>
    <w:rsid w:val="00CE157A"/>
    <w:rsid w:val="00CE1A47"/>
    <w:rsid w:val="00CF0C0C"/>
    <w:rsid w:val="00CF52AB"/>
    <w:rsid w:val="00CF5F8F"/>
    <w:rsid w:val="00CF7878"/>
    <w:rsid w:val="00D0305F"/>
    <w:rsid w:val="00D111DA"/>
    <w:rsid w:val="00D14525"/>
    <w:rsid w:val="00D44D5E"/>
    <w:rsid w:val="00D47314"/>
    <w:rsid w:val="00D5639A"/>
    <w:rsid w:val="00D6444F"/>
    <w:rsid w:val="00D71509"/>
    <w:rsid w:val="00D74053"/>
    <w:rsid w:val="00D77811"/>
    <w:rsid w:val="00D81186"/>
    <w:rsid w:val="00D90467"/>
    <w:rsid w:val="00D92C06"/>
    <w:rsid w:val="00DA2C96"/>
    <w:rsid w:val="00DB18DB"/>
    <w:rsid w:val="00DD4D90"/>
    <w:rsid w:val="00DD747B"/>
    <w:rsid w:val="00DE369A"/>
    <w:rsid w:val="00DE6C3B"/>
    <w:rsid w:val="00DF0A8A"/>
    <w:rsid w:val="00DF1081"/>
    <w:rsid w:val="00DF1CE5"/>
    <w:rsid w:val="00DF4126"/>
    <w:rsid w:val="00DF594C"/>
    <w:rsid w:val="00E01F50"/>
    <w:rsid w:val="00E02D2A"/>
    <w:rsid w:val="00E042B3"/>
    <w:rsid w:val="00E05034"/>
    <w:rsid w:val="00E07347"/>
    <w:rsid w:val="00E13E0F"/>
    <w:rsid w:val="00E15041"/>
    <w:rsid w:val="00E309CE"/>
    <w:rsid w:val="00E35E5D"/>
    <w:rsid w:val="00E3784B"/>
    <w:rsid w:val="00E432A6"/>
    <w:rsid w:val="00E47182"/>
    <w:rsid w:val="00E52C3E"/>
    <w:rsid w:val="00E543DF"/>
    <w:rsid w:val="00E54EF0"/>
    <w:rsid w:val="00E615F6"/>
    <w:rsid w:val="00E637A6"/>
    <w:rsid w:val="00E6720C"/>
    <w:rsid w:val="00E706FE"/>
    <w:rsid w:val="00E740DF"/>
    <w:rsid w:val="00E758D6"/>
    <w:rsid w:val="00E77E38"/>
    <w:rsid w:val="00E82691"/>
    <w:rsid w:val="00E84F47"/>
    <w:rsid w:val="00E86866"/>
    <w:rsid w:val="00EA4606"/>
    <w:rsid w:val="00EB0249"/>
    <w:rsid w:val="00EB232E"/>
    <w:rsid w:val="00ED31BB"/>
    <w:rsid w:val="00ED6308"/>
    <w:rsid w:val="00ED77A9"/>
    <w:rsid w:val="00EE2F9E"/>
    <w:rsid w:val="00EE4AE7"/>
    <w:rsid w:val="00EF0BE3"/>
    <w:rsid w:val="00EF1179"/>
    <w:rsid w:val="00F032C4"/>
    <w:rsid w:val="00F069CA"/>
    <w:rsid w:val="00F174D0"/>
    <w:rsid w:val="00F31F7A"/>
    <w:rsid w:val="00F347FC"/>
    <w:rsid w:val="00F3621D"/>
    <w:rsid w:val="00F42D07"/>
    <w:rsid w:val="00F468E1"/>
    <w:rsid w:val="00F47678"/>
    <w:rsid w:val="00F47DC2"/>
    <w:rsid w:val="00F53911"/>
    <w:rsid w:val="00F54C1B"/>
    <w:rsid w:val="00F552AF"/>
    <w:rsid w:val="00F64FF5"/>
    <w:rsid w:val="00F8067D"/>
    <w:rsid w:val="00F8099D"/>
    <w:rsid w:val="00F9002C"/>
    <w:rsid w:val="00F9178D"/>
    <w:rsid w:val="00F93586"/>
    <w:rsid w:val="00FA2E14"/>
    <w:rsid w:val="00FA32BB"/>
    <w:rsid w:val="00FA357E"/>
    <w:rsid w:val="00FA3727"/>
    <w:rsid w:val="00FB1193"/>
    <w:rsid w:val="00FB52D4"/>
    <w:rsid w:val="00FC3666"/>
    <w:rsid w:val="00FC42D9"/>
    <w:rsid w:val="00FC45E6"/>
    <w:rsid w:val="00FC7C2F"/>
    <w:rsid w:val="00FD0AD6"/>
    <w:rsid w:val="00FD12A7"/>
    <w:rsid w:val="00FD1D7D"/>
    <w:rsid w:val="00FD2480"/>
    <w:rsid w:val="00FD650E"/>
    <w:rsid w:val="00FE0651"/>
    <w:rsid w:val="00FE2B08"/>
    <w:rsid w:val="00FE53AF"/>
    <w:rsid w:val="00FF0501"/>
    <w:rsid w:val="00FF3633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707C9"/>
  <w15:docId w15:val="{7F67588A-C9C0-459E-8027-280B12C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7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CA8"/>
    <w:pPr>
      <w:spacing w:before="120" w:after="120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A1D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FD6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C2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C2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8D"/>
    <w:rPr>
      <w:rFonts w:ascii="Tahoma" w:hAnsi="Tahoma" w:cs="Tahoma"/>
      <w:sz w:val="16"/>
      <w:szCs w:val="16"/>
    </w:rPr>
  </w:style>
  <w:style w:type="character" w:customStyle="1" w:styleId="68">
    <w:name w:val="6/8"/>
    <w:rsid w:val="00DF0A8A"/>
    <w:rPr>
      <w:rFonts w:ascii="Arial" w:hAnsi="Arial"/>
      <w:b/>
      <w:caps/>
      <w:color w:val="0000FF"/>
      <w:sz w:val="12"/>
      <w:u w:val="none"/>
      <w:vertAlign w:val="baseline"/>
    </w:rPr>
  </w:style>
  <w:style w:type="paragraph" w:customStyle="1" w:styleId="FillIn">
    <w:name w:val="Fill In"/>
    <w:basedOn w:val="Normal"/>
    <w:rsid w:val="00DF0A8A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6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3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39A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14CA8"/>
    <w:rPr>
      <w:rFonts w:ascii="Arial" w:hAnsi="Arial"/>
      <w:b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0A1D"/>
    <w:rPr>
      <w:rFonts w:ascii="Arial" w:hAnsi="Arial"/>
      <w:sz w:val="28"/>
      <w:szCs w:val="28"/>
    </w:rPr>
  </w:style>
  <w:style w:type="paragraph" w:styleId="Revision">
    <w:name w:val="Revision"/>
    <w:hidden/>
    <w:uiPriority w:val="99"/>
    <w:semiHidden/>
    <w:rsid w:val="00B205FD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53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FAA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697D95"/>
    <w:pPr>
      <w:autoSpaceDE w:val="0"/>
      <w:autoSpaceDN w:val="0"/>
    </w:pPr>
    <w:rPr>
      <w:rFonts w:ascii="Century Gothic" w:eastAsiaTheme="minorHAnsi" w:hAnsi="Century Gothic" w:cs="Calibri"/>
      <w:color w:val="000000"/>
    </w:rPr>
  </w:style>
  <w:style w:type="character" w:customStyle="1" w:styleId="ui-provider">
    <w:name w:val="ui-provider"/>
    <w:basedOn w:val="DefaultParagraphFont"/>
    <w:rsid w:val="008E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5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78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7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1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71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50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2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92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6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udget.ca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1373-3959-48B8-9811-B742C6EA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schima</dc:creator>
  <cp:lastModifiedBy>Okada, Rowena@DOR</cp:lastModifiedBy>
  <cp:revision>8</cp:revision>
  <cp:lastPrinted>2020-01-10T21:58:00Z</cp:lastPrinted>
  <dcterms:created xsi:type="dcterms:W3CDTF">2024-01-08T22:29:00Z</dcterms:created>
  <dcterms:modified xsi:type="dcterms:W3CDTF">2024-01-12T23:42:00Z</dcterms:modified>
</cp:coreProperties>
</file>